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41909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34713DB2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77589DD1" w14:textId="77777777" w:rsidR="00047822" w:rsidRPr="00047822" w:rsidRDefault="00047822" w:rsidP="00047822"/>
    <w:p w14:paraId="1DAB580F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14:paraId="515DF81D" w14:textId="77777777"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14:paraId="1D044103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14:paraId="473EC6B6" w14:textId="2CD8DE5C" w:rsidR="00047822" w:rsidRPr="00047822" w:rsidRDefault="00D6077A" w:rsidP="00D6077A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25-950 Kielce  </w:t>
      </w:r>
      <w:r w:rsidR="00047822" w:rsidRPr="00047822">
        <w:rPr>
          <w:rFonts w:ascii="Verdana" w:hAnsi="Verdana"/>
          <w:sz w:val="20"/>
          <w:szCs w:val="20"/>
        </w:rPr>
        <w:t>ul. Paderewskiego 43/45</w:t>
      </w:r>
    </w:p>
    <w:p w14:paraId="4E5A1DEA" w14:textId="77777777" w:rsidR="0031465A" w:rsidRDefault="0031465A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31465A">
        <w:rPr>
          <w:rFonts w:ascii="Verdana" w:hAnsi="Verdana"/>
          <w:sz w:val="20"/>
          <w:szCs w:val="20"/>
        </w:rPr>
        <w:t>Punkt Obsługi Interesanta pok. 26</w:t>
      </w:r>
    </w:p>
    <w:p w14:paraId="4A387DF3" w14:textId="77777777"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7D660B" w:rsidRPr="00E9354B">
        <w:rPr>
          <w:rFonts w:ascii="Verdana" w:hAnsi="Verdana"/>
          <w:b/>
          <w:sz w:val="20"/>
          <w:szCs w:val="20"/>
        </w:rPr>
        <w:t>O/KI.D-2.2431.4.2023</w:t>
      </w:r>
      <w:r w:rsidRPr="00E9354B">
        <w:rPr>
          <w:rFonts w:ascii="Verdana" w:hAnsi="Verdana"/>
          <w:b/>
          <w:sz w:val="20"/>
          <w:szCs w:val="20"/>
        </w:rPr>
        <w:t xml:space="preserve"> PYTANIA</w:t>
      </w:r>
      <w:r w:rsidRPr="00E9354B">
        <w:rPr>
          <w:rFonts w:ascii="Verdana" w:hAnsi="Verdana"/>
          <w:sz w:val="20"/>
          <w:szCs w:val="20"/>
        </w:rPr>
        <w:t>,</w:t>
      </w:r>
    </w:p>
    <w:p w14:paraId="7444A4B9" w14:textId="77777777"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7D660B" w:rsidRPr="007F4DB9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dszafraniec@gddkia.gov.pl</w:t>
        </w:r>
      </w:hyperlink>
    </w:p>
    <w:p w14:paraId="0870380F" w14:textId="77777777" w:rsidR="000975F0" w:rsidRPr="0091379F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 w:rsidRPr="0091379F">
        <w:rPr>
          <w:rFonts w:ascii="Verdana" w:hAnsi="Verdana"/>
          <w:sz w:val="20"/>
          <w:szCs w:val="20"/>
        </w:rPr>
        <w:t>Zamawiający</w:t>
      </w:r>
      <w:r w:rsidR="00F425B2" w:rsidRPr="0091379F">
        <w:rPr>
          <w:rFonts w:ascii="Verdana" w:hAnsi="Verdana"/>
          <w:sz w:val="20"/>
          <w:szCs w:val="20"/>
        </w:rPr>
        <w:t xml:space="preserve"> </w:t>
      </w:r>
      <w:r w:rsidR="000975F0" w:rsidRPr="0091379F">
        <w:rPr>
          <w:rFonts w:ascii="Verdana" w:hAnsi="Verdana"/>
          <w:sz w:val="20"/>
          <w:szCs w:val="20"/>
        </w:rPr>
        <w:t>dopuszcza składani</w:t>
      </w:r>
      <w:r w:rsidR="00D8393C" w:rsidRPr="0091379F">
        <w:rPr>
          <w:rFonts w:ascii="Verdana" w:hAnsi="Verdana"/>
          <w:sz w:val="20"/>
          <w:szCs w:val="20"/>
        </w:rPr>
        <w:t>e</w:t>
      </w:r>
      <w:r w:rsidR="000975F0" w:rsidRPr="0091379F">
        <w:rPr>
          <w:rFonts w:ascii="Verdana" w:hAnsi="Verdana"/>
          <w:sz w:val="20"/>
          <w:szCs w:val="20"/>
        </w:rPr>
        <w:t xml:space="preserve"> ofert częściowych.</w:t>
      </w:r>
    </w:p>
    <w:p w14:paraId="54234BD3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6920B637" w14:textId="1F17D958"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Wykonawca nie złożył Formularza Oferty</w:t>
      </w:r>
      <w:r w:rsidR="00810644">
        <w:rPr>
          <w:rFonts w:ascii="Verdana" w:hAnsi="Verdana"/>
          <w:sz w:val="20"/>
          <w:szCs w:val="20"/>
        </w:rPr>
        <w:t xml:space="preserve"> oraz formularza cenowego.</w:t>
      </w:r>
    </w:p>
    <w:p w14:paraId="26FB50A5" w14:textId="77777777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14:paraId="12519CAA" w14:textId="77777777"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14:paraId="5FF3ED9D" w14:textId="77777777"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2BEF814B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14:paraId="1E3FEB3F" w14:textId="77777777"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14:paraId="153090ED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0334A10E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1513381B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 wp14:anchorId="2993D81C" wp14:editId="27D66D62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1D5C291F" w14:textId="77777777"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73A25569" w14:textId="5BAC8650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 xml:space="preserve">bowiązek wykazania, że oferta nie zawiera rażąco niskiej ceny spoczywa na </w:t>
      </w:r>
      <w:r w:rsidR="00D6077A">
        <w:rPr>
          <w:rFonts w:ascii="Verdana" w:hAnsi="Verdana"/>
          <w:sz w:val="20"/>
          <w:szCs w:val="20"/>
        </w:rPr>
        <w:t>W</w:t>
      </w:r>
      <w:r w:rsidR="00047822" w:rsidRPr="00047822">
        <w:rPr>
          <w:rFonts w:ascii="Verdana" w:hAnsi="Verdana"/>
          <w:sz w:val="20"/>
          <w:szCs w:val="20"/>
        </w:rPr>
        <w:t>ykona</w:t>
      </w:r>
      <w:r>
        <w:rPr>
          <w:rFonts w:ascii="Verdana" w:hAnsi="Verdana"/>
          <w:sz w:val="20"/>
          <w:szCs w:val="20"/>
        </w:rPr>
        <w:t>wcy.</w:t>
      </w:r>
    </w:p>
    <w:p w14:paraId="35B3A477" w14:textId="789E2998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</w:t>
      </w:r>
      <w:r w:rsidR="00D6077A">
        <w:rPr>
          <w:rFonts w:ascii="Verdana" w:hAnsi="Verdana"/>
          <w:sz w:val="20"/>
          <w:szCs w:val="20"/>
        </w:rPr>
        <w:t>W</w:t>
      </w:r>
      <w:r w:rsidRPr="00047822">
        <w:rPr>
          <w:rFonts w:ascii="Verdana" w:hAnsi="Verdana"/>
          <w:sz w:val="20"/>
          <w:szCs w:val="20"/>
        </w:rPr>
        <w:t>ykonawca nie ponosi odpowiedzialności.</w:t>
      </w:r>
    </w:p>
    <w:p w14:paraId="47B944DE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654BF"/>
    <w:rsid w:val="00070F36"/>
    <w:rsid w:val="000975F0"/>
    <w:rsid w:val="001A3188"/>
    <w:rsid w:val="00263237"/>
    <w:rsid w:val="002B24D1"/>
    <w:rsid w:val="0031465A"/>
    <w:rsid w:val="00321077"/>
    <w:rsid w:val="00350B6A"/>
    <w:rsid w:val="005C153C"/>
    <w:rsid w:val="007D660B"/>
    <w:rsid w:val="00810644"/>
    <w:rsid w:val="00815B30"/>
    <w:rsid w:val="0087341C"/>
    <w:rsid w:val="0091379F"/>
    <w:rsid w:val="00A82D01"/>
    <w:rsid w:val="00A84E12"/>
    <w:rsid w:val="00A85473"/>
    <w:rsid w:val="00AA254E"/>
    <w:rsid w:val="00AD33CD"/>
    <w:rsid w:val="00C51022"/>
    <w:rsid w:val="00C66396"/>
    <w:rsid w:val="00C72D07"/>
    <w:rsid w:val="00D6077A"/>
    <w:rsid w:val="00D731F4"/>
    <w:rsid w:val="00D7431D"/>
    <w:rsid w:val="00D8393C"/>
    <w:rsid w:val="00DD3548"/>
    <w:rsid w:val="00E21F0F"/>
    <w:rsid w:val="00E52169"/>
    <w:rsid w:val="00E9354B"/>
    <w:rsid w:val="00E9505A"/>
    <w:rsid w:val="00EB7EC5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47F3F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7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dszafraniec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Szafraniec Dorota</cp:lastModifiedBy>
  <cp:revision>2</cp:revision>
  <dcterms:created xsi:type="dcterms:W3CDTF">2026-02-23T11:51:00Z</dcterms:created>
  <dcterms:modified xsi:type="dcterms:W3CDTF">2026-02-23T11:51:00Z</dcterms:modified>
</cp:coreProperties>
</file>